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B1" w:rsidRPr="003D38E7" w:rsidRDefault="005308B1" w:rsidP="00710937">
      <w:pPr>
        <w:adjustRightInd/>
        <w:snapToGrid/>
        <w:spacing w:before="100" w:beforeAutospacing="1" w:after="100" w:afterAutospacing="1" w:line="570" w:lineRule="atLeast"/>
        <w:jc w:val="center"/>
        <w:outlineLvl w:val="1"/>
        <w:rPr>
          <w:rFonts w:ascii="黑体" w:eastAsia="黑体" w:hAnsi="宋体" w:cs="宋体"/>
          <w:b/>
          <w:bCs/>
          <w:color w:val="333333"/>
          <w:kern w:val="36"/>
          <w:sz w:val="36"/>
          <w:szCs w:val="36"/>
        </w:rPr>
      </w:pPr>
      <w:r w:rsidRPr="003D38E7">
        <w:rPr>
          <w:rFonts w:ascii="黑体" w:eastAsia="黑体" w:hAnsi="宋体" w:cs="宋体" w:hint="eastAsia"/>
          <w:b/>
          <w:bCs/>
          <w:color w:val="333333"/>
          <w:kern w:val="36"/>
          <w:sz w:val="36"/>
          <w:szCs w:val="36"/>
        </w:rPr>
        <w:t>关于加快推动我国绿色建筑发展的实施意见</w:t>
      </w:r>
    </w:p>
    <w:p w:rsidR="005308B1" w:rsidRPr="003D38E7" w:rsidRDefault="005308B1" w:rsidP="00710937">
      <w:pPr>
        <w:adjustRightInd/>
        <w:snapToGrid/>
        <w:spacing w:after="0" w:line="360" w:lineRule="atLeast"/>
        <w:jc w:val="center"/>
        <w:rPr>
          <w:rFonts w:ascii="仿宋_GB2312" w:eastAsia="仿宋_GB2312" w:hAnsi="宋体" w:cs="宋体"/>
          <w:color w:val="333333"/>
          <w:sz w:val="28"/>
          <w:szCs w:val="28"/>
        </w:rPr>
      </w:pPr>
      <w:r w:rsidRPr="003D38E7">
        <w:rPr>
          <w:rFonts w:ascii="仿宋_GB2312" w:eastAsia="仿宋_GB2312" w:hAnsi="宋体" w:cs="宋体" w:hint="eastAsia"/>
          <w:color w:val="333333"/>
          <w:sz w:val="28"/>
          <w:szCs w:val="28"/>
        </w:rPr>
        <w:t>财建</w:t>
      </w:r>
      <w:r w:rsidRPr="003D38E7">
        <w:rPr>
          <w:rFonts w:ascii="仿宋_GB2312" w:eastAsia="仿宋_GB2312" w:hAnsi="宋体" w:cs="宋体"/>
          <w:color w:val="333333"/>
          <w:sz w:val="28"/>
          <w:szCs w:val="28"/>
        </w:rPr>
        <w:t>[167]</w:t>
      </w:r>
      <w:r w:rsidRPr="003D38E7">
        <w:rPr>
          <w:rFonts w:ascii="仿宋_GB2312" w:eastAsia="仿宋_GB2312" w:hAnsi="宋体" w:cs="宋体" w:hint="eastAsia"/>
          <w:color w:val="333333"/>
          <w:sz w:val="28"/>
          <w:szCs w:val="28"/>
        </w:rPr>
        <w:t>号</w:t>
      </w:r>
    </w:p>
    <w:p w:rsidR="005308B1" w:rsidRPr="003D38E7" w:rsidRDefault="005308B1" w:rsidP="003D38E7">
      <w:pPr>
        <w:adjustRightInd/>
        <w:snapToGrid/>
        <w:spacing w:after="0" w:line="360" w:lineRule="atLeast"/>
        <w:rPr>
          <w:rFonts w:ascii="仿宋_GB2312" w:eastAsia="仿宋_GB2312" w:hAnsi="宋体" w:cs="宋体"/>
          <w:color w:val="333333"/>
          <w:sz w:val="28"/>
          <w:szCs w:val="28"/>
        </w:rPr>
      </w:pPr>
      <w:r w:rsidRPr="003D38E7">
        <w:rPr>
          <w:rFonts w:ascii="仿宋_GB2312" w:eastAsia="仿宋_GB2312" w:hAnsi="宋体" w:cs="宋体" w:hint="eastAsia"/>
          <w:color w:val="333333"/>
          <w:sz w:val="28"/>
          <w:szCs w:val="28"/>
        </w:rPr>
        <w:t>各省、自治区、直辖市、计划单列市财政厅（局）、建设厅（委、局），新疆建设兵团财务局、建设局：</w:t>
      </w:r>
    </w:p>
    <w:p w:rsidR="005308B1" w:rsidRPr="003D38E7" w:rsidRDefault="005308B1" w:rsidP="003D38E7">
      <w:pPr>
        <w:adjustRightInd/>
        <w:snapToGrid/>
        <w:spacing w:after="0" w:line="360" w:lineRule="atLeast"/>
        <w:ind w:firstLineChars="200" w:firstLine="31680"/>
        <w:rPr>
          <w:rFonts w:ascii="仿宋_GB2312" w:eastAsia="仿宋_GB2312" w:hAnsi="宋体" w:cs="宋体"/>
          <w:color w:val="333333"/>
          <w:sz w:val="28"/>
          <w:szCs w:val="28"/>
        </w:rPr>
      </w:pPr>
      <w:r w:rsidRPr="003D38E7">
        <w:rPr>
          <w:rFonts w:ascii="仿宋_GB2312" w:eastAsia="仿宋_GB2312" w:hAnsi="宋体" w:cs="宋体" w:hint="eastAsia"/>
          <w:color w:val="333333"/>
          <w:sz w:val="28"/>
          <w:szCs w:val="28"/>
        </w:rPr>
        <w:t>按照《国务院关于印发“十二五”节能减排综合性工作方案的通知》（国发</w:t>
      </w:r>
      <w:r w:rsidRPr="003D38E7">
        <w:rPr>
          <w:rFonts w:ascii="仿宋_GB2312" w:eastAsia="仿宋_GB2312" w:hAnsi="宋体" w:cs="宋体"/>
          <w:color w:val="333333"/>
          <w:sz w:val="28"/>
          <w:szCs w:val="28"/>
        </w:rPr>
        <w:t>[2011]26</w:t>
      </w:r>
      <w:r w:rsidRPr="003D38E7">
        <w:rPr>
          <w:rFonts w:ascii="仿宋_GB2312" w:eastAsia="仿宋_GB2312" w:hAnsi="宋体" w:cs="宋体" w:hint="eastAsia"/>
          <w:color w:val="333333"/>
          <w:sz w:val="28"/>
          <w:szCs w:val="28"/>
        </w:rPr>
        <w:t>号）统一部署，为进一步深入推进建筑节能，加快发展绿色建筑，促进城乡建设模式转型升级，特制定以下实施意见：</w:t>
      </w:r>
    </w:p>
    <w:p w:rsidR="005308B1" w:rsidRPr="003D38E7" w:rsidRDefault="005308B1" w:rsidP="003D38E7">
      <w:pPr>
        <w:adjustRightInd/>
        <w:snapToGrid/>
        <w:spacing w:after="0" w:line="360" w:lineRule="atLeast"/>
        <w:ind w:firstLineChars="196" w:firstLine="31680"/>
        <w:rPr>
          <w:rFonts w:ascii="仿宋_GB2312" w:eastAsia="仿宋_GB2312" w:hAnsi="宋体" w:cs="宋体"/>
          <w:b/>
          <w:color w:val="333333"/>
          <w:sz w:val="28"/>
          <w:szCs w:val="28"/>
        </w:rPr>
      </w:pPr>
      <w:r w:rsidRPr="003D38E7">
        <w:rPr>
          <w:rFonts w:ascii="仿宋_GB2312" w:eastAsia="仿宋_GB2312" w:hAnsi="宋体" w:cs="宋体" w:hint="eastAsia"/>
          <w:b/>
          <w:color w:val="333333"/>
          <w:sz w:val="28"/>
          <w:szCs w:val="28"/>
        </w:rPr>
        <w:t>一、充分认识绿色建筑发展的重要意义</w:t>
      </w:r>
    </w:p>
    <w:p w:rsidR="005308B1" w:rsidRPr="003D38E7" w:rsidRDefault="005308B1" w:rsidP="003D38E7">
      <w:pPr>
        <w:adjustRightInd/>
        <w:snapToGrid/>
        <w:spacing w:after="0" w:line="360" w:lineRule="atLeast"/>
        <w:ind w:firstLineChars="200" w:firstLine="31680"/>
        <w:rPr>
          <w:rFonts w:ascii="仿宋_GB2312" w:eastAsia="仿宋_GB2312" w:hAnsi="宋体" w:cs="宋体"/>
          <w:color w:val="333333"/>
          <w:sz w:val="28"/>
          <w:szCs w:val="28"/>
        </w:rPr>
      </w:pPr>
      <w:r w:rsidRPr="003D38E7">
        <w:rPr>
          <w:rFonts w:ascii="仿宋_GB2312" w:eastAsia="仿宋_GB2312" w:hAnsi="宋体" w:cs="宋体" w:hint="eastAsia"/>
          <w:color w:val="333333"/>
          <w:sz w:val="28"/>
          <w:szCs w:val="28"/>
        </w:rPr>
        <w:t>绿色建筑是指满足《绿色建筑评价标准》（</w:t>
      </w:r>
      <w:r w:rsidRPr="003D38E7">
        <w:rPr>
          <w:rFonts w:ascii="仿宋_GB2312" w:eastAsia="仿宋_GB2312" w:hAnsi="宋体" w:cs="宋体"/>
          <w:color w:val="333333"/>
          <w:sz w:val="28"/>
          <w:szCs w:val="28"/>
        </w:rPr>
        <w:t>GB/T 50378-2006</w:t>
      </w:r>
      <w:r w:rsidRPr="003D38E7">
        <w:rPr>
          <w:rFonts w:ascii="仿宋_GB2312" w:eastAsia="仿宋_GB2312" w:hAnsi="宋体" w:cs="宋体" w:hint="eastAsia"/>
          <w:color w:val="333333"/>
          <w:sz w:val="28"/>
          <w:szCs w:val="28"/>
        </w:rPr>
        <w:t>），在全寿命周期内最大限度地节能、节地、节水、节材，保护环境和减少污染，为人们提供健康、适用和高效的使用空间，与自然和谐共生的建筑。</w:t>
      </w:r>
      <w:r w:rsidRPr="003D38E7">
        <w:rPr>
          <w:rFonts w:ascii="仿宋_GB2312" w:eastAsia="仿宋_GB2312" w:hAnsi="宋体" w:cs="宋体"/>
          <w:color w:val="333333"/>
          <w:sz w:val="28"/>
          <w:szCs w:val="28"/>
        </w:rPr>
        <w:t xml:space="preserve"> </w:t>
      </w:r>
    </w:p>
    <w:p w:rsidR="005308B1" w:rsidRPr="003D38E7" w:rsidRDefault="005308B1" w:rsidP="003D38E7">
      <w:pPr>
        <w:adjustRightInd/>
        <w:snapToGrid/>
        <w:spacing w:after="0" w:line="360" w:lineRule="atLeast"/>
        <w:ind w:firstLineChars="200" w:firstLine="31680"/>
        <w:rPr>
          <w:rFonts w:ascii="仿宋_GB2312" w:eastAsia="仿宋_GB2312" w:hAnsi="宋体" w:cs="宋体"/>
          <w:color w:val="333333"/>
          <w:sz w:val="28"/>
          <w:szCs w:val="28"/>
        </w:rPr>
      </w:pPr>
      <w:r w:rsidRPr="003D38E7">
        <w:rPr>
          <w:rFonts w:ascii="仿宋_GB2312" w:eastAsia="仿宋_GB2312" w:hAnsi="宋体" w:cs="宋体" w:hint="eastAsia"/>
          <w:color w:val="333333"/>
          <w:sz w:val="28"/>
          <w:szCs w:val="28"/>
        </w:rPr>
        <w:t>我国正处于工业化、城镇化和新农村建设快速发展的历史时期，深入推进建筑节能，加快发展绿色建筑面临难得的历史机遇。目前，我国城乡建设增长方式仍然粗放，发展质量和效益不高，建筑建造和使用过程能源资源消耗高、利用效率低的问题比较突出。大力发展绿色建筑，以绿色、生态、低碳理念指导城乡建设，能够最大效率地利用资源和最低限度地影响环境，有效转变城乡建设发展模式，缓解城镇化进程中资源环境约束；能够充分体现以人为本理念，为人们提供健康、舒适、安全的居住、工作和活动空间，显著改善群众生产生活条件，提高人民满意度，并在广大群众中树立节约资源与保护环境的观念；能够全面集成建筑节能、节地、节水、节材及环境保护等多种技术，极大带动建筑技术革新，直接推动建筑生产方式的重大变革，促进建筑产业优化升级，拉动节能环保建材、新能源应用、节能服务、咨询等相关产业发展。</w:t>
      </w:r>
    </w:p>
    <w:p w:rsidR="005308B1" w:rsidRPr="003D38E7" w:rsidRDefault="005308B1" w:rsidP="003D38E7">
      <w:pPr>
        <w:adjustRightInd/>
        <w:snapToGrid/>
        <w:spacing w:line="360" w:lineRule="atLeast"/>
        <w:ind w:firstLineChars="200" w:firstLine="31680"/>
        <w:rPr>
          <w:rFonts w:ascii="仿宋_GB2312" w:eastAsia="仿宋_GB2312" w:hAnsi="宋体" w:cs="宋体"/>
          <w:color w:val="333333"/>
          <w:sz w:val="28"/>
          <w:szCs w:val="28"/>
        </w:rPr>
      </w:pPr>
      <w:r w:rsidRPr="003D38E7">
        <w:rPr>
          <w:rFonts w:ascii="仿宋_GB2312" w:eastAsia="仿宋_GB2312" w:hAnsi="宋体" w:cs="宋体" w:hint="eastAsia"/>
          <w:color w:val="333333"/>
          <w:sz w:val="28"/>
          <w:szCs w:val="28"/>
        </w:rPr>
        <w:t>各级财政、住房城乡建设部门要充分认识到推动发展绿色建筑，是保障改善民生的重要举措，是建设资源节约、环境友好型社会的基本内容，对加快转变经济发展方式，深入贯彻落实科学发展观都具有重要的现实意义。要进一步增强紧迫感和责任感，紧紧抓住难得的历史机遇，尽快制定有力的政策措施，建立健全体制机制，加快推动我国绿色建筑健康发展。</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二、推动绿色建筑发展的主要目标与基本原则</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（一）主要目标。切实提高绿色建筑在新建建筑中的比重，到</w:t>
      </w:r>
      <w:r w:rsidRPr="003D38E7">
        <w:rPr>
          <w:rFonts w:ascii="仿宋_GB2312" w:eastAsia="仿宋_GB2312" w:hAnsi="宋体" w:cs="宋体"/>
          <w:color w:val="333333"/>
          <w:sz w:val="28"/>
          <w:szCs w:val="28"/>
        </w:rPr>
        <w:t>2020</w:t>
      </w:r>
      <w:r w:rsidRPr="003D38E7">
        <w:rPr>
          <w:rFonts w:ascii="仿宋_GB2312" w:eastAsia="仿宋_GB2312" w:hAnsi="宋体" w:cs="宋体" w:hint="eastAsia"/>
          <w:color w:val="333333"/>
          <w:sz w:val="28"/>
          <w:szCs w:val="28"/>
        </w:rPr>
        <w:t>年，绿色建筑占新建建筑比重超过</w:t>
      </w:r>
      <w:r w:rsidRPr="003D38E7">
        <w:rPr>
          <w:rFonts w:ascii="仿宋_GB2312" w:eastAsia="仿宋_GB2312" w:hAnsi="宋体" w:cs="宋体"/>
          <w:color w:val="333333"/>
          <w:sz w:val="28"/>
          <w:szCs w:val="28"/>
        </w:rPr>
        <w:t>30%</w:t>
      </w:r>
      <w:r w:rsidRPr="003D38E7">
        <w:rPr>
          <w:rFonts w:ascii="仿宋_GB2312" w:eastAsia="仿宋_GB2312" w:hAnsi="宋体" w:cs="宋体" w:hint="eastAsia"/>
          <w:color w:val="333333"/>
          <w:sz w:val="28"/>
          <w:szCs w:val="28"/>
        </w:rPr>
        <w:t>，建筑建造和使用过程的能源资源消耗水平接近或达到现阶段发达国家水平。“十二五”期间，加强相关政策激励、标准规范、技术进步、产业支撑、认证评估等方面能力建设，建立有利于绿色建筑发展的体制机制，以新建单体建筑评价标识推广、城市新区集中推广为手段，实现绿色建筑的快速发展，到</w:t>
      </w:r>
      <w:r w:rsidRPr="003D38E7">
        <w:rPr>
          <w:rFonts w:ascii="仿宋_GB2312" w:eastAsia="仿宋_GB2312" w:hAnsi="宋体" w:cs="宋体"/>
          <w:color w:val="333333"/>
          <w:sz w:val="28"/>
          <w:szCs w:val="28"/>
        </w:rPr>
        <w:t>2014</w:t>
      </w:r>
      <w:r w:rsidRPr="003D38E7">
        <w:rPr>
          <w:rFonts w:ascii="仿宋_GB2312" w:eastAsia="仿宋_GB2312" w:hAnsi="宋体" w:cs="宋体" w:hint="eastAsia"/>
          <w:color w:val="333333"/>
          <w:sz w:val="28"/>
          <w:szCs w:val="28"/>
        </w:rPr>
        <w:t>年政府投资的公益性建筑和直辖市、计划单列市及省会城市的保障性住房全面执行绿色建筑标准，力争到</w:t>
      </w:r>
      <w:r w:rsidRPr="003D38E7">
        <w:rPr>
          <w:rFonts w:ascii="仿宋_GB2312" w:eastAsia="仿宋_GB2312" w:hAnsi="宋体" w:cs="宋体"/>
          <w:color w:val="333333"/>
          <w:sz w:val="28"/>
          <w:szCs w:val="28"/>
        </w:rPr>
        <w:t>2015</w:t>
      </w:r>
      <w:r w:rsidRPr="003D38E7">
        <w:rPr>
          <w:rFonts w:ascii="仿宋_GB2312" w:eastAsia="仿宋_GB2312" w:hAnsi="宋体" w:cs="宋体" w:hint="eastAsia"/>
          <w:color w:val="333333"/>
          <w:sz w:val="28"/>
          <w:szCs w:val="28"/>
        </w:rPr>
        <w:t>年，新增绿色建筑面积</w:t>
      </w:r>
      <w:r w:rsidRPr="003D38E7">
        <w:rPr>
          <w:rFonts w:ascii="仿宋_GB2312" w:eastAsia="仿宋_GB2312" w:hAnsi="宋体" w:cs="宋体"/>
          <w:color w:val="333333"/>
          <w:sz w:val="28"/>
          <w:szCs w:val="28"/>
        </w:rPr>
        <w:t>10</w:t>
      </w:r>
      <w:r w:rsidRPr="003D38E7">
        <w:rPr>
          <w:rFonts w:ascii="仿宋_GB2312" w:eastAsia="仿宋_GB2312" w:hAnsi="宋体" w:cs="宋体" w:hint="eastAsia"/>
          <w:color w:val="333333"/>
          <w:sz w:val="28"/>
          <w:szCs w:val="28"/>
        </w:rPr>
        <w:t>亿平方米以上。</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二）基本原则。加快推动我国绿色建筑发展必须遵循以下原则：因地制宜、经济适用，充分考虑各地经济社会发展水平、资源禀赋、气候条件、建筑特点，合理制定地区绿色建筑发展规划和技术路线，建立健全地区绿色建筑标准体系，实施有针对性的政策措施。整体推进、突出重点，积极完善政策体系，从整体上推动绿色建筑发展，并注重集中资金和政策，支持重点城市及政府投资公益性建筑在加快绿色建筑发展方面率先突破。合理分级、分类指导，按照绿色建筑星级的不同，实施有区别的财政支持政策，以单体建筑奖励为主，支持二星级以上的高星级绿色建筑发展，提高绿色建筑质量水平；以支持绿色生态城区发展为主要抓手，引导低星级绿色建筑规模化发展。激励引导、规范约束，在发展初期，以政策激励为主，调动各方加快绿色建筑发展的积极性，加快标准标识等制度建设，完善约束机制，切实提高绿色建筑标准执行率。</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三、建立健全绿色建筑标准规范及评价标识体系，引导绿色建筑健康发展</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一）健全绿色建筑标准体系。尽快完善绿色建筑标准体系，制（修）订绿色建筑规划、设计、施工、验收、运行管理及相关产品标准、规程。加快制定适合不同气候区、不同建筑类型的绿色建筑评价标准。研究制定绿色建筑工程定额及造价标准。鼓励地方结合地区实际，制定绿色建筑强制性标准。编制绿色生态城区指标体系、技术导则和标准体系。</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二）完善绿色建筑评价制度。各地住房城乡建设、财政部门要加大绿色建筑评价标识制度的推进力度，建立自愿性标识与强制性标识相结合的推进机制，对按绿色建筑标准设计建造的一般住宅和公共建筑，实行自愿性评价标识，对按绿色建筑标准设计建造的政府投资的保障性住房、学校、医院等公益性建筑及大型公共建筑，率先实行评价标识，并逐步过渡到对所有新建绿色建筑均进行评价标识。</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三）加强绿色建筑评价能力建设。培育专门的绿色建筑评价机构，负责相关设计咨询、产品部品检测、单体建筑第三方评价、区域规划等。建立绿色建筑评价职业资格制度，加快培养绿色建筑设计、施工、评估、能源服务等方面的人才。</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四、建立高星级绿色建筑财政政策激励机制，引导更高水平绿色建筑建设</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一）建立高星级绿色建筑奖励审核、备案及公示制度。各级地方财政、住房城乡建设部门将设计评价标识达到二星级及以上的绿色建筑项目汇总上报至财政部、住房城乡建设部（以下简称“两部”），两部组织专家委员会对申请项目的规划设计方案、绿色建筑评价标识报告、工程建设审批文件、性能效果分析报告等进行程序性审核，对审核通过的绿色建筑项目予以备案，项目竣工验收后，其中大型公共建筑投入使用一年后，两部组织能效测评机构对项目的实施量、工程量、实际性能效果进行评价，并将符合申请预期目标的绿色建筑名单向社会公示，接受社会监督。</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（二）对高星级绿色建筑给予财政奖励。对经过上述审核、备案及公示程序，且满足相关标准要求的二星级及以上的绿色建筑给予奖励。</w:t>
      </w:r>
      <w:r w:rsidRPr="003D38E7">
        <w:rPr>
          <w:rFonts w:ascii="仿宋_GB2312" w:eastAsia="仿宋_GB2312" w:hAnsi="宋体" w:cs="宋体"/>
          <w:color w:val="333333"/>
          <w:sz w:val="28"/>
          <w:szCs w:val="28"/>
        </w:rPr>
        <w:t>2012</w:t>
      </w:r>
      <w:r w:rsidRPr="003D38E7">
        <w:rPr>
          <w:rFonts w:ascii="仿宋_GB2312" w:eastAsia="仿宋_GB2312" w:hAnsi="宋体" w:cs="宋体" w:hint="eastAsia"/>
          <w:color w:val="333333"/>
          <w:sz w:val="28"/>
          <w:szCs w:val="28"/>
        </w:rPr>
        <w:t>年奖励标准为：二星级绿色建筑</w:t>
      </w:r>
      <w:r w:rsidRPr="003D38E7">
        <w:rPr>
          <w:rFonts w:ascii="仿宋_GB2312" w:eastAsia="仿宋_GB2312" w:hAnsi="宋体" w:cs="宋体"/>
          <w:color w:val="333333"/>
          <w:sz w:val="28"/>
          <w:szCs w:val="28"/>
        </w:rPr>
        <w:t>45</w:t>
      </w:r>
      <w:r w:rsidRPr="003D38E7">
        <w:rPr>
          <w:rFonts w:ascii="仿宋_GB2312" w:eastAsia="仿宋_GB2312" w:hAnsi="宋体" w:cs="宋体" w:hint="eastAsia"/>
          <w:color w:val="333333"/>
          <w:sz w:val="28"/>
          <w:szCs w:val="28"/>
        </w:rPr>
        <w:t>元</w:t>
      </w:r>
      <w:r w:rsidRPr="003D38E7">
        <w:rPr>
          <w:rFonts w:ascii="仿宋_GB2312" w:eastAsia="仿宋_GB2312" w:hAnsi="宋体" w:cs="宋体"/>
          <w:color w:val="333333"/>
          <w:sz w:val="28"/>
          <w:szCs w:val="28"/>
        </w:rPr>
        <w:t>/</w:t>
      </w:r>
      <w:r w:rsidRPr="003D38E7">
        <w:rPr>
          <w:rFonts w:ascii="仿宋_GB2312" w:eastAsia="仿宋_GB2312" w:hAnsi="宋体" w:cs="宋体" w:hint="eastAsia"/>
          <w:color w:val="333333"/>
          <w:sz w:val="28"/>
          <w:szCs w:val="28"/>
        </w:rPr>
        <w:t>平方米（建筑面积，下同），三星级绿色建筑</w:t>
      </w:r>
      <w:r w:rsidRPr="003D38E7">
        <w:rPr>
          <w:rFonts w:ascii="仿宋_GB2312" w:eastAsia="仿宋_GB2312" w:hAnsi="宋体" w:cs="宋体"/>
          <w:color w:val="333333"/>
          <w:sz w:val="28"/>
          <w:szCs w:val="28"/>
        </w:rPr>
        <w:t>80</w:t>
      </w:r>
      <w:r w:rsidRPr="003D38E7">
        <w:rPr>
          <w:rFonts w:ascii="仿宋_GB2312" w:eastAsia="仿宋_GB2312" w:hAnsi="宋体" w:cs="宋体" w:hint="eastAsia"/>
          <w:color w:val="333333"/>
          <w:sz w:val="28"/>
          <w:szCs w:val="28"/>
        </w:rPr>
        <w:t>元</w:t>
      </w:r>
      <w:r w:rsidRPr="003D38E7">
        <w:rPr>
          <w:rFonts w:ascii="仿宋_GB2312" w:eastAsia="仿宋_GB2312" w:hAnsi="宋体" w:cs="宋体"/>
          <w:color w:val="333333"/>
          <w:sz w:val="28"/>
          <w:szCs w:val="28"/>
        </w:rPr>
        <w:t>/</w:t>
      </w:r>
      <w:r w:rsidRPr="003D38E7">
        <w:rPr>
          <w:rFonts w:ascii="仿宋_GB2312" w:eastAsia="仿宋_GB2312" w:hAnsi="宋体" w:cs="宋体" w:hint="eastAsia"/>
          <w:color w:val="333333"/>
          <w:sz w:val="28"/>
          <w:szCs w:val="28"/>
        </w:rPr>
        <w:t>平方米。奖励标准将根据技术进步、成本变化等情况进行调整。</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三）规范财政奖励资金的使用管理。中央财政将奖励资金拨至相关省市财政部门，由各地财政部门兑付至项目单位，对公益性建筑、商业性公共建筑、保障性住房等，奖励资金兑付给建设单位或投资方，对商业性住宅项目，各地应研究采取措施主要使购房者得益。</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五、推进绿色生态城区建设，规模化发展绿色建筑</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一）积极发展绿色生态城区。鼓励城市新区按照绿色、生态、低碳理念进行规划设计，充分体现资源节约环境保护的要求，集中连片发展绿色建筑。中央财政支持绿色生态城区建设，申请绿色生态城区示范应具备以下条件：新区已按绿色、生态、低碳理念编制完成总体规划、控制性详细规划以及建筑、市政、能源等专项规划，并建立相应的指标体系；新建建筑全面执行《绿色建筑评价标准》中的一星级及以上的评价标准，其中二星级及以上绿色建筑达到</w:t>
      </w:r>
      <w:r w:rsidRPr="003D38E7">
        <w:rPr>
          <w:rFonts w:ascii="仿宋_GB2312" w:eastAsia="仿宋_GB2312" w:hAnsi="宋体" w:cs="宋体"/>
          <w:color w:val="333333"/>
          <w:sz w:val="28"/>
          <w:szCs w:val="28"/>
        </w:rPr>
        <w:t>30%</w:t>
      </w:r>
      <w:r w:rsidRPr="003D38E7">
        <w:rPr>
          <w:rFonts w:ascii="仿宋_GB2312" w:eastAsia="仿宋_GB2312" w:hAnsi="宋体" w:cs="宋体" w:hint="eastAsia"/>
          <w:color w:val="333333"/>
          <w:sz w:val="28"/>
          <w:szCs w:val="28"/>
        </w:rPr>
        <w:t>以上，</w:t>
      </w:r>
      <w:r w:rsidRPr="003D38E7">
        <w:rPr>
          <w:rFonts w:ascii="仿宋_GB2312" w:eastAsia="仿宋_GB2312" w:hAnsi="宋体" w:cs="宋体"/>
          <w:color w:val="333333"/>
          <w:sz w:val="28"/>
          <w:szCs w:val="28"/>
        </w:rPr>
        <w:t>2</w:t>
      </w:r>
      <w:r w:rsidRPr="003D38E7">
        <w:rPr>
          <w:rFonts w:ascii="仿宋_GB2312" w:eastAsia="仿宋_GB2312" w:hAnsi="宋体" w:cs="宋体" w:hint="eastAsia"/>
          <w:color w:val="333333"/>
          <w:sz w:val="28"/>
          <w:szCs w:val="28"/>
        </w:rPr>
        <w:t>年内绿色建筑开工建设规模不少于</w:t>
      </w:r>
      <w:r w:rsidRPr="003D38E7">
        <w:rPr>
          <w:rFonts w:ascii="仿宋_GB2312" w:eastAsia="仿宋_GB2312" w:hAnsi="宋体" w:cs="宋体"/>
          <w:color w:val="333333"/>
          <w:sz w:val="28"/>
          <w:szCs w:val="28"/>
        </w:rPr>
        <w:t>200</w:t>
      </w:r>
      <w:r w:rsidRPr="003D38E7">
        <w:rPr>
          <w:rFonts w:ascii="仿宋_GB2312" w:eastAsia="仿宋_GB2312" w:hAnsi="宋体" w:cs="宋体" w:hint="eastAsia"/>
          <w:color w:val="333333"/>
          <w:sz w:val="28"/>
          <w:szCs w:val="28"/>
        </w:rPr>
        <w:t>万平方米。</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（二）支持绿色建筑规模化发展。中央财政对经审核满足上述条件的绿色生态城区给予资金定额补助。资金补助基准为</w:t>
      </w:r>
      <w:r w:rsidRPr="003D38E7">
        <w:rPr>
          <w:rFonts w:ascii="仿宋_GB2312" w:eastAsia="仿宋_GB2312" w:hAnsi="宋体" w:cs="宋体"/>
          <w:color w:val="333333"/>
          <w:sz w:val="28"/>
          <w:szCs w:val="28"/>
        </w:rPr>
        <w:t>5000</w:t>
      </w:r>
      <w:r w:rsidRPr="003D38E7">
        <w:rPr>
          <w:rFonts w:ascii="仿宋_GB2312" w:eastAsia="仿宋_GB2312" w:hAnsi="宋体" w:cs="宋体" w:hint="eastAsia"/>
          <w:color w:val="333333"/>
          <w:sz w:val="28"/>
          <w:szCs w:val="28"/>
        </w:rPr>
        <w:t>万元，具体根据绿色生态城区规划建设水平、绿色建筑建设规模、评价等级、能力建设情况等因素综合核定。对规划建设水平高、建设规模大、能力建设突出的绿色生态城区，将相应调增补助额度。补助资金主要用于补贴绿色建筑建设增量成本及城区绿色生态规划、指标体系制定、绿色建筑评价标识及能效测评等相关支出。</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六、引导保障性住房及公益性行业优先发展绿色建筑，使绿色建筑更多地惠及民生</w:t>
      </w:r>
      <w:r w:rsidRPr="003D38E7">
        <w:rPr>
          <w:rFonts w:ascii="仿宋_GB2312" w:eastAsia="仿宋_GB2312" w:hAnsi="宋体" w:cs="宋体"/>
          <w:color w:val="333333"/>
          <w:sz w:val="28"/>
          <w:szCs w:val="28"/>
        </w:rPr>
        <w:br/>
      </w:r>
      <w:r w:rsidRPr="003D38E7">
        <w:rPr>
          <w:rFonts w:ascii="仿宋_GB2312" w:eastAsia="仿宋_GB2312" w:hAnsi="宋体" w:cs="宋体" w:hint="eastAsia"/>
          <w:color w:val="333333"/>
          <w:sz w:val="28"/>
          <w:szCs w:val="28"/>
        </w:rPr>
        <w:t>（一）鼓励保障性住房按照绿色建筑标准规划建设。各地要切实提高公租房、廉租房及经济适用房等保障性住房建设水平，强调绿色节能环保要求，在制定保障性住房建设规划及年度计划时，具备条件的地区应安排一定比例的保障性住房按照绿色建筑标准进行设计建造。</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二）在公益性行业加快发展绿色建筑。鼓励各地在政府办公建筑、学校、医院、博物馆等政府投资的公益性建筑建设中，率先执行绿色建筑标准。结合地区经济社会发展水平，在公益性建筑中开展强制执行绿色建筑标准试点，从</w:t>
      </w:r>
      <w:r w:rsidRPr="003D38E7">
        <w:rPr>
          <w:rFonts w:ascii="仿宋_GB2312" w:eastAsia="仿宋_GB2312" w:hAnsi="宋体" w:cs="宋体"/>
          <w:color w:val="333333"/>
          <w:sz w:val="28"/>
          <w:szCs w:val="28"/>
        </w:rPr>
        <w:t>2014</w:t>
      </w:r>
      <w:r w:rsidRPr="003D38E7">
        <w:rPr>
          <w:rFonts w:ascii="仿宋_GB2312" w:eastAsia="仿宋_GB2312" w:hAnsi="宋体" w:cs="宋体" w:hint="eastAsia"/>
          <w:color w:val="333333"/>
          <w:sz w:val="28"/>
          <w:szCs w:val="28"/>
        </w:rPr>
        <w:t>年起，政府投资公益性建筑全部执行绿色建筑标准。</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三）切实加大保障性住房及公益性行业的财政支持力度。绿色建筑奖励及补助资金、可再生能源建筑应用资金向保障性住房及公益性行业倾斜，达到高星级奖励标准的优先奖励，保障性住房发展一星级绿色建筑达到一定规模的也将优先给予定额补助。</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七、大力推进绿色建筑科技进步及产业发展，切实加强绿色建筑综合能力建设</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一）积极推动绿色建筑科技进步。各级财政、住房城乡建设部门要鼓励支持建筑节能与绿色建筑工程技术中心建设，积极支持绿色建筑重大共性关键技术研究。加大高强钢、高性能混凝土、防火与保温性能优良的建筑保温材料等绿色建材的推广力度。要根据绿色建筑发展需要，及时制定发布相关技术、产品推广公告、目录，促进行业技术进步。</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二）大力推进建筑垃圾资源化利用。积极推进地级以上城市全面开展建筑垃圾资源化利用，各级财政、住房城乡建设部门要系统推行垃圾收集、运输、处理、再利用等各项工作，加快建筑垃圾资源化利用技术、装备研发推广，实行建筑垃圾集中处理和分级利用，建立专门的建筑垃圾集中处理基地。</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三）积极推动住宅产业化。积极推广适合住宅产业化的新型建筑体系，支持集设计、生产、施工于一体的工业化基地建设；加快建立建筑设计、施工、部品生产等环节的标准体系，实现住宅部品通用化，大力推广住宅全装修，推行新建住宅一次装修到位或菜单式装修，促进个性化装修和产业化装修相统一。</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color w:val="333333"/>
          <w:sz w:val="28"/>
          <w:szCs w:val="28"/>
        </w:rPr>
        <w:t>各级财政、住房城乡建设部门要按照本意见的部署和要求，统一思想，提高认识，认真抓好各项政策措施的落实，要与发改、科技、规划、机关事务等有关部门加强协调配合，落实工作责任，及时研究解决绿色建筑发展中的重大问题，科学组织实施，推动我国绿色建筑快速健康发展。</w:t>
      </w:r>
      <w:r w:rsidRPr="003D38E7">
        <w:rPr>
          <w:rFonts w:ascii="仿宋_GB2312" w:eastAsia="仿宋_GB2312" w:hAnsi="宋体" w:cs="宋体"/>
          <w:color w:val="333333"/>
          <w:sz w:val="28"/>
          <w:szCs w:val="28"/>
        </w:rPr>
        <w:br/>
      </w:r>
      <w:r>
        <w:rPr>
          <w:rFonts w:ascii="仿宋_GB2312" w:eastAsia="仿宋_GB2312" w:hAnsi="宋体" w:cs="宋体"/>
          <w:color w:val="333333"/>
          <w:sz w:val="28"/>
          <w:szCs w:val="28"/>
        </w:rPr>
        <w:t xml:space="preserve">                               </w:t>
      </w:r>
      <w:r w:rsidRPr="003D38E7">
        <w:rPr>
          <w:rFonts w:ascii="仿宋_GB2312" w:eastAsia="仿宋_GB2312" w:hAnsi="宋体" w:cs="宋体" w:hint="eastAsia"/>
          <w:b/>
          <w:color w:val="333333"/>
          <w:sz w:val="28"/>
          <w:szCs w:val="28"/>
        </w:rPr>
        <w:t>财政部</w:t>
      </w:r>
      <w:r w:rsidRPr="003D38E7">
        <w:rPr>
          <w:rFonts w:ascii="仿宋_GB2312" w:eastAsia="仿宋_GB2312" w:hAnsi="宋体" w:cs="宋体"/>
          <w:b/>
          <w:color w:val="333333"/>
          <w:sz w:val="28"/>
          <w:szCs w:val="28"/>
        </w:rPr>
        <w:t xml:space="preserve"> </w:t>
      </w:r>
      <w:r w:rsidRPr="003D38E7">
        <w:rPr>
          <w:rFonts w:ascii="仿宋_GB2312" w:eastAsia="仿宋_GB2312" w:hAnsi="宋体" w:cs="宋体" w:hint="eastAsia"/>
          <w:b/>
          <w:color w:val="333333"/>
          <w:sz w:val="28"/>
          <w:szCs w:val="28"/>
        </w:rPr>
        <w:t>住房和城乡建设部</w:t>
      </w:r>
      <w:r w:rsidRPr="003D38E7">
        <w:rPr>
          <w:rFonts w:ascii="仿宋_GB2312" w:eastAsia="仿宋_GB2312" w:hAnsi="宋体" w:cs="宋体"/>
          <w:b/>
          <w:color w:val="333333"/>
          <w:sz w:val="28"/>
          <w:szCs w:val="28"/>
        </w:rPr>
        <w:br/>
      </w:r>
      <w:r>
        <w:rPr>
          <w:rFonts w:ascii="仿宋_GB2312" w:eastAsia="仿宋_GB2312" w:hAnsi="宋体" w:cs="宋体"/>
          <w:b/>
          <w:color w:val="333333"/>
          <w:sz w:val="28"/>
          <w:szCs w:val="28"/>
        </w:rPr>
        <w:t xml:space="preserve">                               </w:t>
      </w:r>
      <w:r w:rsidRPr="003D38E7">
        <w:rPr>
          <w:rFonts w:ascii="仿宋_GB2312" w:eastAsia="仿宋_GB2312" w:hAnsi="宋体" w:cs="宋体" w:hint="eastAsia"/>
          <w:b/>
          <w:color w:val="333333"/>
          <w:sz w:val="28"/>
          <w:szCs w:val="28"/>
        </w:rPr>
        <w:t>二</w:t>
      </w:r>
      <w:r w:rsidRPr="003D38E7">
        <w:rPr>
          <w:rFonts w:ascii="仿宋_GB2312" w:eastAsia="仿宋_GB2312" w:hAnsi="宋体" w:cs="宋体"/>
          <w:b/>
          <w:color w:val="333333"/>
          <w:sz w:val="28"/>
          <w:szCs w:val="28"/>
        </w:rPr>
        <w:t>0</w:t>
      </w:r>
      <w:r w:rsidRPr="003D38E7">
        <w:rPr>
          <w:rFonts w:ascii="仿宋_GB2312" w:eastAsia="仿宋_GB2312" w:hAnsi="宋体" w:cs="宋体" w:hint="eastAsia"/>
          <w:b/>
          <w:color w:val="333333"/>
          <w:sz w:val="28"/>
          <w:szCs w:val="28"/>
        </w:rPr>
        <w:t>一二年四月二十七日</w:t>
      </w:r>
    </w:p>
    <w:sectPr w:rsidR="005308B1" w:rsidRPr="003D38E7" w:rsidSect="004358AB">
      <w:footerReference w:type="even" r:id="rId7"/>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B1" w:rsidRDefault="005308B1">
      <w:r>
        <w:separator/>
      </w:r>
    </w:p>
  </w:endnote>
  <w:endnote w:type="continuationSeparator" w:id="1">
    <w:p w:rsidR="005308B1" w:rsidRDefault="00530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B1" w:rsidRDefault="005308B1" w:rsidP="00635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8B1" w:rsidRDefault="00530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B1" w:rsidRDefault="005308B1" w:rsidP="00635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08B1" w:rsidRDefault="00530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B1" w:rsidRDefault="005308B1">
      <w:r>
        <w:separator/>
      </w:r>
    </w:p>
  </w:footnote>
  <w:footnote w:type="continuationSeparator" w:id="1">
    <w:p w:rsidR="005308B1" w:rsidRDefault="00530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DDB"/>
    <w:multiLevelType w:val="multilevel"/>
    <w:tmpl w:val="C90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51D6E"/>
    <w:multiLevelType w:val="multilevel"/>
    <w:tmpl w:val="099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5757D"/>
    <w:rsid w:val="001D2AB0"/>
    <w:rsid w:val="00323B43"/>
    <w:rsid w:val="003D37D8"/>
    <w:rsid w:val="003D38E7"/>
    <w:rsid w:val="00426133"/>
    <w:rsid w:val="004358AB"/>
    <w:rsid w:val="005308B1"/>
    <w:rsid w:val="005D35EA"/>
    <w:rsid w:val="00635D2A"/>
    <w:rsid w:val="00710937"/>
    <w:rsid w:val="008B7726"/>
    <w:rsid w:val="00B660F8"/>
    <w:rsid w:val="00D0195D"/>
    <w:rsid w:val="00D31D50"/>
    <w:rsid w:val="00DE24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10937"/>
    <w:rPr>
      <w:rFonts w:cs="Times New Roman"/>
      <w:color w:val="005599"/>
      <w:u w:val="none"/>
      <w:effect w:val="none"/>
    </w:rPr>
  </w:style>
  <w:style w:type="character" w:styleId="Emphasis">
    <w:name w:val="Emphasis"/>
    <w:basedOn w:val="DefaultParagraphFont"/>
    <w:uiPriority w:val="99"/>
    <w:qFormat/>
    <w:rsid w:val="00710937"/>
    <w:rPr>
      <w:rFonts w:cs="Times New Roman"/>
    </w:rPr>
  </w:style>
  <w:style w:type="character" w:customStyle="1" w:styleId="f122">
    <w:name w:val="f122"/>
    <w:basedOn w:val="DefaultParagraphFont"/>
    <w:uiPriority w:val="99"/>
    <w:rsid w:val="00710937"/>
    <w:rPr>
      <w:rFonts w:cs="Times New Roman"/>
    </w:rPr>
  </w:style>
  <w:style w:type="character" w:customStyle="1" w:styleId="red5">
    <w:name w:val="red5"/>
    <w:basedOn w:val="DefaultParagraphFont"/>
    <w:uiPriority w:val="99"/>
    <w:rsid w:val="00710937"/>
    <w:rPr>
      <w:rFonts w:cs="Times New Roman"/>
    </w:rPr>
  </w:style>
  <w:style w:type="character" w:customStyle="1" w:styleId="sc">
    <w:name w:val="sc"/>
    <w:basedOn w:val="DefaultParagraphFont"/>
    <w:uiPriority w:val="99"/>
    <w:rsid w:val="00710937"/>
    <w:rPr>
      <w:rFonts w:cs="Times New Roman"/>
    </w:rPr>
  </w:style>
  <w:style w:type="paragraph" w:styleId="DocumentMap">
    <w:name w:val="Document Map"/>
    <w:basedOn w:val="Normal"/>
    <w:link w:val="DocumentMapChar"/>
    <w:uiPriority w:val="99"/>
    <w:semiHidden/>
    <w:rsid w:val="00710937"/>
    <w:rPr>
      <w:rFonts w:ascii="宋体" w:eastAsia="宋体"/>
      <w:sz w:val="18"/>
      <w:szCs w:val="18"/>
    </w:rPr>
  </w:style>
  <w:style w:type="character" w:customStyle="1" w:styleId="DocumentMapChar">
    <w:name w:val="Document Map Char"/>
    <w:basedOn w:val="DefaultParagraphFont"/>
    <w:link w:val="DocumentMap"/>
    <w:uiPriority w:val="99"/>
    <w:semiHidden/>
    <w:locked/>
    <w:rsid w:val="00710937"/>
    <w:rPr>
      <w:rFonts w:ascii="宋体" w:eastAsia="宋体" w:hAnsi="Tahoma" w:cs="Times New Roman"/>
      <w:sz w:val="18"/>
      <w:szCs w:val="18"/>
    </w:rPr>
  </w:style>
  <w:style w:type="paragraph" w:styleId="Footer">
    <w:name w:val="footer"/>
    <w:basedOn w:val="Normal"/>
    <w:link w:val="FooterChar"/>
    <w:uiPriority w:val="99"/>
    <w:rsid w:val="003D38E7"/>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967D73"/>
    <w:rPr>
      <w:rFonts w:ascii="Tahoma" w:hAnsi="Tahoma"/>
      <w:kern w:val="0"/>
      <w:sz w:val="18"/>
      <w:szCs w:val="18"/>
    </w:rPr>
  </w:style>
  <w:style w:type="character" w:styleId="PageNumber">
    <w:name w:val="page number"/>
    <w:basedOn w:val="DefaultParagraphFont"/>
    <w:uiPriority w:val="99"/>
    <w:rsid w:val="003D38E7"/>
    <w:rPr>
      <w:rFonts w:cs="Times New Roman"/>
    </w:rPr>
  </w:style>
</w:styles>
</file>

<file path=word/webSettings.xml><?xml version="1.0" encoding="utf-8"?>
<w:webSettings xmlns:r="http://schemas.openxmlformats.org/officeDocument/2006/relationships" xmlns:w="http://schemas.openxmlformats.org/wordprocessingml/2006/main">
  <w:divs>
    <w:div w:id="2087530212">
      <w:marLeft w:val="0"/>
      <w:marRight w:val="0"/>
      <w:marTop w:val="0"/>
      <w:marBottom w:val="0"/>
      <w:divBdr>
        <w:top w:val="none" w:sz="0" w:space="0" w:color="auto"/>
        <w:left w:val="none" w:sz="0" w:space="0" w:color="auto"/>
        <w:bottom w:val="none" w:sz="0" w:space="0" w:color="auto"/>
        <w:right w:val="none" w:sz="0" w:space="0" w:color="auto"/>
      </w:divBdr>
      <w:divsChild>
        <w:div w:id="2087530220">
          <w:marLeft w:val="0"/>
          <w:marRight w:val="0"/>
          <w:marTop w:val="150"/>
          <w:marBottom w:val="300"/>
          <w:divBdr>
            <w:top w:val="none" w:sz="0" w:space="0" w:color="auto"/>
            <w:left w:val="none" w:sz="0" w:space="0" w:color="auto"/>
            <w:bottom w:val="none" w:sz="0" w:space="0" w:color="auto"/>
            <w:right w:val="none" w:sz="0" w:space="0" w:color="auto"/>
          </w:divBdr>
          <w:divsChild>
            <w:div w:id="2087530211">
              <w:marLeft w:val="0"/>
              <w:marRight w:val="0"/>
              <w:marTop w:val="0"/>
              <w:marBottom w:val="0"/>
              <w:divBdr>
                <w:top w:val="none" w:sz="0" w:space="0" w:color="auto"/>
                <w:left w:val="none" w:sz="0" w:space="0" w:color="auto"/>
                <w:bottom w:val="none" w:sz="0" w:space="0" w:color="auto"/>
                <w:right w:val="none" w:sz="0" w:space="0" w:color="auto"/>
              </w:divBdr>
              <w:divsChild>
                <w:div w:id="2087530210">
                  <w:marLeft w:val="0"/>
                  <w:marRight w:val="0"/>
                  <w:marTop w:val="0"/>
                  <w:marBottom w:val="0"/>
                  <w:divBdr>
                    <w:top w:val="none" w:sz="0" w:space="0" w:color="auto"/>
                    <w:left w:val="none" w:sz="0" w:space="0" w:color="auto"/>
                    <w:bottom w:val="none" w:sz="0" w:space="0" w:color="auto"/>
                    <w:right w:val="none" w:sz="0" w:space="0" w:color="auto"/>
                  </w:divBdr>
                  <w:divsChild>
                    <w:div w:id="2087530213">
                      <w:marLeft w:val="0"/>
                      <w:marRight w:val="0"/>
                      <w:marTop w:val="0"/>
                      <w:marBottom w:val="360"/>
                      <w:divBdr>
                        <w:top w:val="none" w:sz="0" w:space="0" w:color="auto"/>
                        <w:left w:val="none" w:sz="0" w:space="0" w:color="auto"/>
                        <w:bottom w:val="none" w:sz="0" w:space="0" w:color="auto"/>
                        <w:right w:val="none" w:sz="0" w:space="0" w:color="auto"/>
                      </w:divBdr>
                    </w:div>
                    <w:div w:id="2087530215">
                      <w:marLeft w:val="0"/>
                      <w:marRight w:val="0"/>
                      <w:marTop w:val="225"/>
                      <w:marBottom w:val="150"/>
                      <w:divBdr>
                        <w:top w:val="none" w:sz="0" w:space="0" w:color="auto"/>
                        <w:left w:val="none" w:sz="0" w:space="0" w:color="auto"/>
                        <w:bottom w:val="none" w:sz="0" w:space="0" w:color="auto"/>
                        <w:right w:val="none" w:sz="0" w:space="0" w:color="auto"/>
                      </w:divBdr>
                      <w:divsChild>
                        <w:div w:id="2087530217">
                          <w:marLeft w:val="0"/>
                          <w:marRight w:val="0"/>
                          <w:marTop w:val="0"/>
                          <w:marBottom w:val="0"/>
                          <w:divBdr>
                            <w:top w:val="none" w:sz="0" w:space="0" w:color="auto"/>
                            <w:left w:val="none" w:sz="0" w:space="0" w:color="auto"/>
                            <w:bottom w:val="none" w:sz="0" w:space="0" w:color="auto"/>
                            <w:right w:val="none" w:sz="0" w:space="0" w:color="auto"/>
                          </w:divBdr>
                          <w:divsChild>
                            <w:div w:id="2087530214">
                              <w:marLeft w:val="0"/>
                              <w:marRight w:val="0"/>
                              <w:marTop w:val="0"/>
                              <w:marBottom w:val="0"/>
                              <w:divBdr>
                                <w:top w:val="none" w:sz="0" w:space="0" w:color="auto"/>
                                <w:left w:val="none" w:sz="0" w:space="0" w:color="auto"/>
                                <w:bottom w:val="none" w:sz="0" w:space="0" w:color="auto"/>
                                <w:right w:val="none" w:sz="0" w:space="0" w:color="auto"/>
                              </w:divBdr>
                            </w:div>
                          </w:divsChild>
                        </w:div>
                        <w:div w:id="2087530221">
                          <w:marLeft w:val="0"/>
                          <w:marRight w:val="0"/>
                          <w:marTop w:val="0"/>
                          <w:marBottom w:val="0"/>
                          <w:divBdr>
                            <w:top w:val="none" w:sz="0" w:space="0" w:color="auto"/>
                            <w:left w:val="none" w:sz="0" w:space="0" w:color="auto"/>
                            <w:bottom w:val="none" w:sz="0" w:space="0" w:color="auto"/>
                            <w:right w:val="none" w:sz="0" w:space="0" w:color="auto"/>
                          </w:divBdr>
                          <w:divsChild>
                            <w:div w:id="2087530218">
                              <w:marLeft w:val="0"/>
                              <w:marRight w:val="0"/>
                              <w:marTop w:val="0"/>
                              <w:marBottom w:val="0"/>
                              <w:divBdr>
                                <w:top w:val="none" w:sz="0" w:space="0" w:color="auto"/>
                                <w:left w:val="none" w:sz="0" w:space="0" w:color="auto"/>
                                <w:bottom w:val="none" w:sz="0" w:space="0" w:color="auto"/>
                                <w:right w:val="none" w:sz="0" w:space="0" w:color="auto"/>
                              </w:divBdr>
                            </w:div>
                            <w:div w:id="2087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0216">
                      <w:marLeft w:val="0"/>
                      <w:marRight w:val="0"/>
                      <w:marTop w:val="0"/>
                      <w:marBottom w:val="0"/>
                      <w:divBdr>
                        <w:top w:val="none" w:sz="0" w:space="0" w:color="auto"/>
                        <w:left w:val="none" w:sz="0" w:space="0" w:color="auto"/>
                        <w:bottom w:val="none" w:sz="0" w:space="0" w:color="auto"/>
                        <w:right w:val="none" w:sz="0" w:space="0" w:color="auto"/>
                      </w:divBdr>
                      <w:divsChild>
                        <w:div w:id="20875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611</Words>
  <Characters>3483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USER</cp:lastModifiedBy>
  <cp:revision>5</cp:revision>
  <dcterms:created xsi:type="dcterms:W3CDTF">2008-09-11T17:20:00Z</dcterms:created>
  <dcterms:modified xsi:type="dcterms:W3CDTF">2012-05-09T02:16:00Z</dcterms:modified>
</cp:coreProperties>
</file>